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B2C708" w14:textId="1A8A4B89" w:rsidR="00114CF8" w:rsidRDefault="00114CF8"/>
    <w:p w14:paraId="46809824" w14:textId="230650CD" w:rsidR="00114CF8" w:rsidRDefault="00114CF8" w:rsidP="00114CF8">
      <w:pPr>
        <w:jc w:val="center"/>
      </w:pPr>
      <w:r>
        <w:t xml:space="preserve">ERCOT </w:t>
      </w:r>
      <w:r w:rsidR="00BF6123">
        <w:t>INTER REGIONAL TRANSMISSIOIN NEEDED NOW</w:t>
      </w:r>
    </w:p>
    <w:p w14:paraId="7AC37EE1" w14:textId="4D6E5701" w:rsidR="00114CF8" w:rsidRDefault="00114CF8" w:rsidP="00114CF8">
      <w:pPr>
        <w:jc w:val="center"/>
      </w:pPr>
    </w:p>
    <w:p w14:paraId="3D31A4BC" w14:textId="4C9F9A73" w:rsidR="00AA64DC" w:rsidRDefault="000A7C3F" w:rsidP="00114CF8">
      <w:r>
        <w:t>In the Long Term System Assessment (LTSA) study completed in 2018 ERCOT determined that 10 major transmission lines would be needed</w:t>
      </w:r>
      <w:r w:rsidR="00BF6123">
        <w:t>,</w:t>
      </w:r>
      <w:r>
        <w:t xml:space="preserve"> </w:t>
      </w:r>
      <w:r w:rsidR="006D6BC5">
        <w:t xml:space="preserve">9 of them </w:t>
      </w:r>
      <w:r>
        <w:t xml:space="preserve">by 2028 in order to accommodate their estimate of </w:t>
      </w:r>
      <w:r w:rsidR="00FC0132">
        <w:t xml:space="preserve">various scenario </w:t>
      </w:r>
      <w:r>
        <w:t>renewable generation</w:t>
      </w:r>
      <w:r w:rsidR="00FC0132">
        <w:t xml:space="preserve"> additions, the Business as Usual scenario renewable </w:t>
      </w:r>
      <w:r>
        <w:t>fleet total</w:t>
      </w:r>
      <w:r w:rsidR="00FC0132">
        <w:t>ed</w:t>
      </w:r>
      <w:r>
        <w:t xml:space="preserve"> 45,026 by 2028.  That is a tall order as we stand here only 8 years away from 2028.  </w:t>
      </w:r>
    </w:p>
    <w:p w14:paraId="26A4CBD3" w14:textId="77777777" w:rsidR="00980D10" w:rsidRDefault="00980D10" w:rsidP="00114CF8"/>
    <w:tbl>
      <w:tblPr>
        <w:tblpPr w:leftFromText="180" w:rightFromText="180" w:vertAnchor="text" w:horzAnchor="page" w:tblpX="6126" w:tblpY="137"/>
        <w:tblW w:w="5750" w:type="dxa"/>
        <w:tblLook w:val="04A0" w:firstRow="1" w:lastRow="0" w:firstColumn="1" w:lastColumn="0" w:noHBand="0" w:noVBand="1"/>
      </w:tblPr>
      <w:tblGrid>
        <w:gridCol w:w="620"/>
        <w:gridCol w:w="4124"/>
        <w:gridCol w:w="1006"/>
      </w:tblGrid>
      <w:tr w:rsidR="00980D10" w:rsidRPr="006D6BC5" w14:paraId="7B366812" w14:textId="77777777" w:rsidTr="00980D10">
        <w:trPr>
          <w:trHeight w:val="231"/>
        </w:trPr>
        <w:tc>
          <w:tcPr>
            <w:tcW w:w="575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B37EAC6" w14:textId="77777777" w:rsidR="00980D10" w:rsidRPr="006D6BC5" w:rsidRDefault="00980D10" w:rsidP="00980D10">
            <w:pPr>
              <w:jc w:val="center"/>
              <w:rPr>
                <w:rFonts w:ascii="Helvetica" w:eastAsia="Times New Roman" w:hAnsi="Helvetica" w:cs="Calibri"/>
                <w:b/>
                <w:bCs/>
                <w:color w:val="000000"/>
                <w:sz w:val="22"/>
                <w:szCs w:val="22"/>
              </w:rPr>
            </w:pPr>
            <w:r w:rsidRPr="006D6BC5">
              <w:rPr>
                <w:rFonts w:ascii="Helvetica" w:eastAsia="Times New Roman" w:hAnsi="Helvetica" w:cs="Calibri"/>
                <w:b/>
                <w:bCs/>
                <w:color w:val="000000"/>
                <w:sz w:val="20"/>
                <w:szCs w:val="20"/>
              </w:rPr>
              <w:t>Table ES. 1: Transmission Upgrades and Additions Index </w:t>
            </w:r>
          </w:p>
        </w:tc>
      </w:tr>
      <w:tr w:rsidR="00980D10" w:rsidRPr="006D6BC5" w14:paraId="089924A0" w14:textId="77777777" w:rsidTr="00980D10">
        <w:trPr>
          <w:trHeight w:val="316"/>
        </w:trPr>
        <w:tc>
          <w:tcPr>
            <w:tcW w:w="4744"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14378F1" w14:textId="77777777" w:rsidR="00980D10" w:rsidRPr="006D6BC5" w:rsidRDefault="00980D10" w:rsidP="00980D10">
            <w:pPr>
              <w:jc w:val="center"/>
              <w:rPr>
                <w:rFonts w:ascii="Helvetica" w:eastAsia="Times New Roman" w:hAnsi="Helvetica" w:cs="Calibri"/>
                <w:b/>
                <w:bCs/>
                <w:color w:val="000000"/>
                <w:sz w:val="22"/>
                <w:szCs w:val="22"/>
              </w:rPr>
            </w:pPr>
            <w:r w:rsidRPr="006D6BC5">
              <w:rPr>
                <w:rFonts w:ascii="Helvetica" w:eastAsia="Times New Roman" w:hAnsi="Helvetica" w:cs="Calibri"/>
                <w:b/>
                <w:bCs/>
                <w:color w:val="000000"/>
                <w:sz w:val="22"/>
                <w:szCs w:val="22"/>
              </w:rPr>
              <w:t>Projects </w:t>
            </w:r>
          </w:p>
        </w:tc>
        <w:tc>
          <w:tcPr>
            <w:tcW w:w="1006" w:type="dxa"/>
            <w:tcBorders>
              <w:top w:val="nil"/>
              <w:left w:val="nil"/>
              <w:bottom w:val="single" w:sz="8" w:space="0" w:color="auto"/>
              <w:right w:val="single" w:sz="8" w:space="0" w:color="auto"/>
            </w:tcBorders>
            <w:shd w:val="clear" w:color="auto" w:fill="auto"/>
            <w:vAlign w:val="bottom"/>
            <w:hideMark/>
          </w:tcPr>
          <w:p w14:paraId="44839FE0" w14:textId="77777777" w:rsidR="00980D10" w:rsidRPr="006D6BC5" w:rsidRDefault="00980D10" w:rsidP="00980D10">
            <w:pPr>
              <w:jc w:val="center"/>
              <w:rPr>
                <w:rFonts w:ascii="Helvetica" w:eastAsia="Times New Roman" w:hAnsi="Helvetica" w:cs="Calibri"/>
                <w:b/>
                <w:bCs/>
                <w:color w:val="000000"/>
                <w:sz w:val="22"/>
                <w:szCs w:val="22"/>
              </w:rPr>
            </w:pPr>
            <w:r w:rsidRPr="006D6BC5">
              <w:rPr>
                <w:rFonts w:ascii="Helvetica" w:eastAsia="Times New Roman" w:hAnsi="Helvetica" w:cs="Calibri"/>
                <w:b/>
                <w:bCs/>
                <w:color w:val="000000"/>
                <w:sz w:val="22"/>
                <w:szCs w:val="22"/>
              </w:rPr>
              <w:t>In service date </w:t>
            </w:r>
          </w:p>
        </w:tc>
      </w:tr>
      <w:tr w:rsidR="00980D10" w:rsidRPr="006D6BC5" w14:paraId="00F25B3E" w14:textId="77777777" w:rsidTr="00980D10">
        <w:trPr>
          <w:trHeight w:val="217"/>
        </w:trPr>
        <w:tc>
          <w:tcPr>
            <w:tcW w:w="620" w:type="dxa"/>
            <w:tcBorders>
              <w:top w:val="nil"/>
              <w:left w:val="single" w:sz="8" w:space="0" w:color="auto"/>
              <w:bottom w:val="single" w:sz="4" w:space="0" w:color="auto"/>
              <w:right w:val="single" w:sz="4" w:space="0" w:color="auto"/>
            </w:tcBorders>
            <w:shd w:val="clear" w:color="auto" w:fill="auto"/>
            <w:noWrap/>
            <w:vAlign w:val="bottom"/>
            <w:hideMark/>
          </w:tcPr>
          <w:p w14:paraId="761ED634"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1 </w:t>
            </w:r>
          </w:p>
        </w:tc>
        <w:tc>
          <w:tcPr>
            <w:tcW w:w="4124" w:type="dxa"/>
            <w:tcBorders>
              <w:top w:val="nil"/>
              <w:left w:val="nil"/>
              <w:bottom w:val="single" w:sz="4" w:space="0" w:color="auto"/>
              <w:right w:val="single" w:sz="8" w:space="0" w:color="auto"/>
            </w:tcBorders>
            <w:shd w:val="clear" w:color="auto" w:fill="auto"/>
            <w:noWrap/>
            <w:vAlign w:val="bottom"/>
            <w:hideMark/>
          </w:tcPr>
          <w:p w14:paraId="180C7F0E" w14:textId="77777777" w:rsidR="00980D10" w:rsidRPr="006D6BC5" w:rsidRDefault="00980D10" w:rsidP="00980D10">
            <w:pPr>
              <w:rPr>
                <w:rFonts w:ascii="Helvetica" w:eastAsia="Times New Roman" w:hAnsi="Helvetica" w:cs="Calibri"/>
                <w:color w:val="000000"/>
                <w:sz w:val="22"/>
                <w:szCs w:val="22"/>
              </w:rPr>
            </w:pPr>
            <w:proofErr w:type="spellStart"/>
            <w:r w:rsidRPr="006D6BC5">
              <w:rPr>
                <w:rFonts w:ascii="Helvetica" w:eastAsia="Times New Roman" w:hAnsi="Helvetica" w:cs="Calibri"/>
                <w:color w:val="000000"/>
                <w:sz w:val="22"/>
                <w:szCs w:val="22"/>
              </w:rPr>
              <w:t>Oklaunion</w:t>
            </w:r>
            <w:proofErr w:type="spellEnd"/>
            <w:r w:rsidRPr="006D6BC5">
              <w:rPr>
                <w:rFonts w:ascii="Helvetica" w:eastAsia="Times New Roman" w:hAnsi="Helvetica" w:cs="Calibri"/>
                <w:color w:val="000000"/>
                <w:sz w:val="22"/>
                <w:szCs w:val="22"/>
              </w:rPr>
              <w:t xml:space="preserve"> to Jacksboro new 345-kV line </w:t>
            </w:r>
          </w:p>
        </w:tc>
        <w:tc>
          <w:tcPr>
            <w:tcW w:w="1006" w:type="dxa"/>
            <w:tcBorders>
              <w:top w:val="nil"/>
              <w:left w:val="nil"/>
              <w:bottom w:val="single" w:sz="4" w:space="0" w:color="auto"/>
              <w:right w:val="single" w:sz="8" w:space="0" w:color="auto"/>
            </w:tcBorders>
            <w:shd w:val="clear" w:color="auto" w:fill="auto"/>
            <w:noWrap/>
            <w:vAlign w:val="bottom"/>
            <w:hideMark/>
          </w:tcPr>
          <w:p w14:paraId="327300CC" w14:textId="77777777" w:rsidR="00980D10" w:rsidRPr="006D6BC5" w:rsidRDefault="00980D10" w:rsidP="00980D10">
            <w:pPr>
              <w:jc w:val="cente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2028 </w:t>
            </w:r>
          </w:p>
        </w:tc>
      </w:tr>
      <w:tr w:rsidR="00980D10" w:rsidRPr="006D6BC5" w14:paraId="6B2C45E1" w14:textId="77777777" w:rsidTr="00980D10">
        <w:trPr>
          <w:trHeight w:val="217"/>
        </w:trPr>
        <w:tc>
          <w:tcPr>
            <w:tcW w:w="620" w:type="dxa"/>
            <w:tcBorders>
              <w:top w:val="nil"/>
              <w:left w:val="single" w:sz="8" w:space="0" w:color="auto"/>
              <w:bottom w:val="single" w:sz="4" w:space="0" w:color="auto"/>
              <w:right w:val="single" w:sz="4" w:space="0" w:color="auto"/>
            </w:tcBorders>
            <w:shd w:val="clear" w:color="auto" w:fill="auto"/>
            <w:noWrap/>
            <w:vAlign w:val="bottom"/>
            <w:hideMark/>
          </w:tcPr>
          <w:p w14:paraId="6CA317C9"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2 </w:t>
            </w:r>
          </w:p>
        </w:tc>
        <w:tc>
          <w:tcPr>
            <w:tcW w:w="4124" w:type="dxa"/>
            <w:tcBorders>
              <w:top w:val="nil"/>
              <w:left w:val="nil"/>
              <w:bottom w:val="single" w:sz="4" w:space="0" w:color="auto"/>
              <w:right w:val="single" w:sz="8" w:space="0" w:color="auto"/>
            </w:tcBorders>
            <w:shd w:val="clear" w:color="auto" w:fill="auto"/>
            <w:noWrap/>
            <w:vAlign w:val="bottom"/>
            <w:hideMark/>
          </w:tcPr>
          <w:p w14:paraId="47D4780D"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 xml:space="preserve">Odessa to </w:t>
            </w:r>
            <w:proofErr w:type="spellStart"/>
            <w:r w:rsidRPr="006D6BC5">
              <w:rPr>
                <w:rFonts w:ascii="Helvetica" w:eastAsia="Times New Roman" w:hAnsi="Helvetica" w:cs="Calibri"/>
                <w:color w:val="000000"/>
                <w:sz w:val="22"/>
                <w:szCs w:val="22"/>
              </w:rPr>
              <w:t>Bearkat</w:t>
            </w:r>
            <w:proofErr w:type="spellEnd"/>
            <w:r w:rsidRPr="006D6BC5">
              <w:rPr>
                <w:rFonts w:ascii="Helvetica" w:eastAsia="Times New Roman" w:hAnsi="Helvetica" w:cs="Calibri"/>
                <w:color w:val="000000"/>
                <w:sz w:val="22"/>
                <w:szCs w:val="22"/>
              </w:rPr>
              <w:t xml:space="preserve"> new 345-kV line </w:t>
            </w:r>
          </w:p>
        </w:tc>
        <w:tc>
          <w:tcPr>
            <w:tcW w:w="1006" w:type="dxa"/>
            <w:tcBorders>
              <w:top w:val="nil"/>
              <w:left w:val="nil"/>
              <w:bottom w:val="single" w:sz="4" w:space="0" w:color="auto"/>
              <w:right w:val="single" w:sz="8" w:space="0" w:color="auto"/>
            </w:tcBorders>
            <w:shd w:val="clear" w:color="auto" w:fill="auto"/>
            <w:noWrap/>
            <w:vAlign w:val="bottom"/>
            <w:hideMark/>
          </w:tcPr>
          <w:p w14:paraId="3D0E5DAB" w14:textId="77777777" w:rsidR="00980D10" w:rsidRPr="006D6BC5" w:rsidRDefault="00980D10" w:rsidP="00980D10">
            <w:pPr>
              <w:jc w:val="cente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2028 </w:t>
            </w:r>
          </w:p>
        </w:tc>
      </w:tr>
      <w:tr w:rsidR="00980D10" w:rsidRPr="006D6BC5" w14:paraId="48EF2CD1" w14:textId="77777777" w:rsidTr="00980D10">
        <w:trPr>
          <w:trHeight w:val="217"/>
        </w:trPr>
        <w:tc>
          <w:tcPr>
            <w:tcW w:w="620" w:type="dxa"/>
            <w:tcBorders>
              <w:top w:val="nil"/>
              <w:left w:val="single" w:sz="8" w:space="0" w:color="auto"/>
              <w:bottom w:val="single" w:sz="4" w:space="0" w:color="auto"/>
              <w:right w:val="single" w:sz="4" w:space="0" w:color="auto"/>
            </w:tcBorders>
            <w:shd w:val="clear" w:color="auto" w:fill="auto"/>
            <w:noWrap/>
            <w:vAlign w:val="bottom"/>
            <w:hideMark/>
          </w:tcPr>
          <w:p w14:paraId="1C81C3FF"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3 </w:t>
            </w:r>
          </w:p>
        </w:tc>
        <w:tc>
          <w:tcPr>
            <w:tcW w:w="4124" w:type="dxa"/>
            <w:tcBorders>
              <w:top w:val="nil"/>
              <w:left w:val="nil"/>
              <w:bottom w:val="single" w:sz="4" w:space="0" w:color="auto"/>
              <w:right w:val="single" w:sz="8" w:space="0" w:color="auto"/>
            </w:tcBorders>
            <w:shd w:val="clear" w:color="auto" w:fill="auto"/>
            <w:noWrap/>
            <w:vAlign w:val="bottom"/>
            <w:hideMark/>
          </w:tcPr>
          <w:p w14:paraId="3948DFD5"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Lubbock Loop (North to New Oliver new 345-kV line and Long Draw to Grassland 345-kV line upgrade) </w:t>
            </w:r>
          </w:p>
        </w:tc>
        <w:tc>
          <w:tcPr>
            <w:tcW w:w="1006" w:type="dxa"/>
            <w:tcBorders>
              <w:top w:val="nil"/>
              <w:left w:val="nil"/>
              <w:bottom w:val="single" w:sz="4" w:space="0" w:color="auto"/>
              <w:right w:val="single" w:sz="8" w:space="0" w:color="auto"/>
            </w:tcBorders>
            <w:shd w:val="clear" w:color="auto" w:fill="auto"/>
            <w:noWrap/>
            <w:vAlign w:val="bottom"/>
            <w:hideMark/>
          </w:tcPr>
          <w:p w14:paraId="3BBFD22F" w14:textId="77777777" w:rsidR="00980D10" w:rsidRPr="006D6BC5" w:rsidRDefault="00980D10" w:rsidP="00980D10">
            <w:pPr>
              <w:jc w:val="cente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2028 </w:t>
            </w:r>
          </w:p>
        </w:tc>
      </w:tr>
      <w:tr w:rsidR="00980D10" w:rsidRPr="006D6BC5" w14:paraId="70223367" w14:textId="77777777" w:rsidTr="00980D10">
        <w:trPr>
          <w:trHeight w:val="217"/>
        </w:trPr>
        <w:tc>
          <w:tcPr>
            <w:tcW w:w="620" w:type="dxa"/>
            <w:tcBorders>
              <w:top w:val="nil"/>
              <w:left w:val="single" w:sz="8" w:space="0" w:color="auto"/>
              <w:bottom w:val="single" w:sz="4" w:space="0" w:color="auto"/>
              <w:right w:val="single" w:sz="4" w:space="0" w:color="auto"/>
            </w:tcBorders>
            <w:shd w:val="clear" w:color="auto" w:fill="auto"/>
            <w:noWrap/>
            <w:vAlign w:val="bottom"/>
            <w:hideMark/>
          </w:tcPr>
          <w:p w14:paraId="1A971C4E"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4 </w:t>
            </w:r>
          </w:p>
        </w:tc>
        <w:tc>
          <w:tcPr>
            <w:tcW w:w="4124" w:type="dxa"/>
            <w:tcBorders>
              <w:top w:val="nil"/>
              <w:left w:val="nil"/>
              <w:bottom w:val="single" w:sz="4" w:space="0" w:color="auto"/>
              <w:right w:val="single" w:sz="8" w:space="0" w:color="auto"/>
            </w:tcBorders>
            <w:shd w:val="clear" w:color="auto" w:fill="auto"/>
            <w:noWrap/>
            <w:vAlign w:val="bottom"/>
            <w:hideMark/>
          </w:tcPr>
          <w:p w14:paraId="32258FAA"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Northwest Austin Metro new 345-kV line and 345/138-kV transformer </w:t>
            </w:r>
          </w:p>
        </w:tc>
        <w:tc>
          <w:tcPr>
            <w:tcW w:w="1006" w:type="dxa"/>
            <w:tcBorders>
              <w:top w:val="nil"/>
              <w:left w:val="nil"/>
              <w:bottom w:val="single" w:sz="4" w:space="0" w:color="auto"/>
              <w:right w:val="single" w:sz="8" w:space="0" w:color="auto"/>
            </w:tcBorders>
            <w:shd w:val="clear" w:color="auto" w:fill="auto"/>
            <w:noWrap/>
            <w:vAlign w:val="bottom"/>
            <w:hideMark/>
          </w:tcPr>
          <w:p w14:paraId="6605307E" w14:textId="77777777" w:rsidR="00980D10" w:rsidRPr="006D6BC5" w:rsidRDefault="00980D10" w:rsidP="00980D10">
            <w:pPr>
              <w:jc w:val="cente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2028 </w:t>
            </w:r>
          </w:p>
        </w:tc>
      </w:tr>
      <w:tr w:rsidR="00980D10" w:rsidRPr="006D6BC5" w14:paraId="73CD46E7" w14:textId="77777777" w:rsidTr="00980D10">
        <w:trPr>
          <w:trHeight w:val="217"/>
        </w:trPr>
        <w:tc>
          <w:tcPr>
            <w:tcW w:w="620" w:type="dxa"/>
            <w:tcBorders>
              <w:top w:val="nil"/>
              <w:left w:val="single" w:sz="8" w:space="0" w:color="auto"/>
              <w:bottom w:val="single" w:sz="4" w:space="0" w:color="auto"/>
              <w:right w:val="single" w:sz="4" w:space="0" w:color="auto"/>
            </w:tcBorders>
            <w:shd w:val="clear" w:color="auto" w:fill="auto"/>
            <w:noWrap/>
            <w:vAlign w:val="bottom"/>
            <w:hideMark/>
          </w:tcPr>
          <w:p w14:paraId="6B1AEA41"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5 </w:t>
            </w:r>
          </w:p>
        </w:tc>
        <w:tc>
          <w:tcPr>
            <w:tcW w:w="4124" w:type="dxa"/>
            <w:tcBorders>
              <w:top w:val="nil"/>
              <w:left w:val="nil"/>
              <w:bottom w:val="single" w:sz="4" w:space="0" w:color="auto"/>
              <w:right w:val="single" w:sz="8" w:space="0" w:color="auto"/>
            </w:tcBorders>
            <w:shd w:val="clear" w:color="auto" w:fill="auto"/>
            <w:noWrap/>
            <w:vAlign w:val="bottom"/>
            <w:hideMark/>
          </w:tcPr>
          <w:p w14:paraId="0299B8ED"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Northwest Dallas-Fort Worth new 345-kV line </w:t>
            </w:r>
          </w:p>
        </w:tc>
        <w:tc>
          <w:tcPr>
            <w:tcW w:w="1006" w:type="dxa"/>
            <w:tcBorders>
              <w:top w:val="nil"/>
              <w:left w:val="nil"/>
              <w:bottom w:val="single" w:sz="4" w:space="0" w:color="auto"/>
              <w:right w:val="single" w:sz="8" w:space="0" w:color="auto"/>
            </w:tcBorders>
            <w:shd w:val="clear" w:color="auto" w:fill="auto"/>
            <w:noWrap/>
            <w:vAlign w:val="bottom"/>
            <w:hideMark/>
          </w:tcPr>
          <w:p w14:paraId="5E581292" w14:textId="77777777" w:rsidR="00980D10" w:rsidRPr="006D6BC5" w:rsidRDefault="00980D10" w:rsidP="00980D10">
            <w:pPr>
              <w:jc w:val="cente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2028 </w:t>
            </w:r>
          </w:p>
        </w:tc>
      </w:tr>
      <w:tr w:rsidR="00980D10" w:rsidRPr="006D6BC5" w14:paraId="0DBAF69B" w14:textId="77777777" w:rsidTr="00980D10">
        <w:trPr>
          <w:trHeight w:val="217"/>
        </w:trPr>
        <w:tc>
          <w:tcPr>
            <w:tcW w:w="620" w:type="dxa"/>
            <w:tcBorders>
              <w:top w:val="nil"/>
              <w:left w:val="single" w:sz="8" w:space="0" w:color="auto"/>
              <w:bottom w:val="single" w:sz="4" w:space="0" w:color="auto"/>
              <w:right w:val="single" w:sz="4" w:space="0" w:color="auto"/>
            </w:tcBorders>
            <w:shd w:val="clear" w:color="auto" w:fill="auto"/>
            <w:noWrap/>
            <w:vAlign w:val="bottom"/>
            <w:hideMark/>
          </w:tcPr>
          <w:p w14:paraId="2525F0EC"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6 </w:t>
            </w:r>
          </w:p>
        </w:tc>
        <w:tc>
          <w:tcPr>
            <w:tcW w:w="4124" w:type="dxa"/>
            <w:tcBorders>
              <w:top w:val="nil"/>
              <w:left w:val="nil"/>
              <w:bottom w:val="single" w:sz="4" w:space="0" w:color="auto"/>
              <w:right w:val="single" w:sz="8" w:space="0" w:color="auto"/>
            </w:tcBorders>
            <w:shd w:val="clear" w:color="auto" w:fill="auto"/>
            <w:noWrap/>
            <w:vAlign w:val="bottom"/>
            <w:hideMark/>
          </w:tcPr>
          <w:p w14:paraId="3B9861E1"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Faraday to Morgan Creek new 345-kV line </w:t>
            </w:r>
          </w:p>
        </w:tc>
        <w:tc>
          <w:tcPr>
            <w:tcW w:w="1006" w:type="dxa"/>
            <w:tcBorders>
              <w:top w:val="nil"/>
              <w:left w:val="nil"/>
              <w:bottom w:val="single" w:sz="4" w:space="0" w:color="auto"/>
              <w:right w:val="single" w:sz="8" w:space="0" w:color="auto"/>
            </w:tcBorders>
            <w:shd w:val="clear" w:color="auto" w:fill="auto"/>
            <w:noWrap/>
            <w:vAlign w:val="bottom"/>
            <w:hideMark/>
          </w:tcPr>
          <w:p w14:paraId="5FEFCDE7" w14:textId="77777777" w:rsidR="00980D10" w:rsidRPr="006D6BC5" w:rsidRDefault="00980D10" w:rsidP="00980D10">
            <w:pPr>
              <w:jc w:val="cente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2028 </w:t>
            </w:r>
          </w:p>
        </w:tc>
      </w:tr>
      <w:tr w:rsidR="00980D10" w:rsidRPr="006D6BC5" w14:paraId="3B1289DD" w14:textId="77777777" w:rsidTr="00980D10">
        <w:trPr>
          <w:trHeight w:val="217"/>
        </w:trPr>
        <w:tc>
          <w:tcPr>
            <w:tcW w:w="620" w:type="dxa"/>
            <w:tcBorders>
              <w:top w:val="nil"/>
              <w:left w:val="single" w:sz="8" w:space="0" w:color="auto"/>
              <w:bottom w:val="single" w:sz="4" w:space="0" w:color="auto"/>
              <w:right w:val="single" w:sz="4" w:space="0" w:color="auto"/>
            </w:tcBorders>
            <w:shd w:val="clear" w:color="auto" w:fill="auto"/>
            <w:noWrap/>
            <w:vAlign w:val="bottom"/>
            <w:hideMark/>
          </w:tcPr>
          <w:p w14:paraId="58934A0F"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7 </w:t>
            </w:r>
          </w:p>
        </w:tc>
        <w:tc>
          <w:tcPr>
            <w:tcW w:w="4124" w:type="dxa"/>
            <w:tcBorders>
              <w:top w:val="nil"/>
              <w:left w:val="nil"/>
              <w:bottom w:val="single" w:sz="4" w:space="0" w:color="auto"/>
              <w:right w:val="single" w:sz="8" w:space="0" w:color="auto"/>
            </w:tcBorders>
            <w:shd w:val="clear" w:color="auto" w:fill="auto"/>
            <w:noWrap/>
            <w:vAlign w:val="bottom"/>
            <w:hideMark/>
          </w:tcPr>
          <w:p w14:paraId="258D12AB"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Long Draw to Dermott new 345-kV line </w:t>
            </w:r>
          </w:p>
        </w:tc>
        <w:tc>
          <w:tcPr>
            <w:tcW w:w="1006" w:type="dxa"/>
            <w:tcBorders>
              <w:top w:val="nil"/>
              <w:left w:val="nil"/>
              <w:bottom w:val="single" w:sz="4" w:space="0" w:color="auto"/>
              <w:right w:val="single" w:sz="8" w:space="0" w:color="auto"/>
            </w:tcBorders>
            <w:shd w:val="clear" w:color="auto" w:fill="auto"/>
            <w:noWrap/>
            <w:vAlign w:val="bottom"/>
            <w:hideMark/>
          </w:tcPr>
          <w:p w14:paraId="3011EF35" w14:textId="77777777" w:rsidR="00980D10" w:rsidRPr="006D6BC5" w:rsidRDefault="00980D10" w:rsidP="00980D10">
            <w:pPr>
              <w:jc w:val="cente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2028 </w:t>
            </w:r>
          </w:p>
        </w:tc>
      </w:tr>
      <w:tr w:rsidR="00980D10" w:rsidRPr="006D6BC5" w14:paraId="697FE2A9" w14:textId="77777777" w:rsidTr="00980D10">
        <w:trPr>
          <w:trHeight w:val="217"/>
        </w:trPr>
        <w:tc>
          <w:tcPr>
            <w:tcW w:w="620" w:type="dxa"/>
            <w:tcBorders>
              <w:top w:val="nil"/>
              <w:left w:val="single" w:sz="8" w:space="0" w:color="auto"/>
              <w:bottom w:val="single" w:sz="4" w:space="0" w:color="auto"/>
              <w:right w:val="single" w:sz="4" w:space="0" w:color="auto"/>
            </w:tcBorders>
            <w:shd w:val="clear" w:color="auto" w:fill="auto"/>
            <w:noWrap/>
            <w:vAlign w:val="bottom"/>
            <w:hideMark/>
          </w:tcPr>
          <w:p w14:paraId="513FB34F"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8 </w:t>
            </w:r>
          </w:p>
        </w:tc>
        <w:tc>
          <w:tcPr>
            <w:tcW w:w="4124" w:type="dxa"/>
            <w:tcBorders>
              <w:top w:val="nil"/>
              <w:left w:val="nil"/>
              <w:bottom w:val="single" w:sz="4" w:space="0" w:color="auto"/>
              <w:right w:val="single" w:sz="8" w:space="0" w:color="auto"/>
            </w:tcBorders>
            <w:shd w:val="clear" w:color="auto" w:fill="auto"/>
            <w:noWrap/>
            <w:vAlign w:val="bottom"/>
            <w:hideMark/>
          </w:tcPr>
          <w:p w14:paraId="13CEB73E"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West Texas to San Antonio new 345-kV line </w:t>
            </w:r>
          </w:p>
        </w:tc>
        <w:tc>
          <w:tcPr>
            <w:tcW w:w="1006" w:type="dxa"/>
            <w:tcBorders>
              <w:top w:val="nil"/>
              <w:left w:val="nil"/>
              <w:bottom w:val="single" w:sz="4" w:space="0" w:color="auto"/>
              <w:right w:val="single" w:sz="8" w:space="0" w:color="auto"/>
            </w:tcBorders>
            <w:shd w:val="clear" w:color="auto" w:fill="auto"/>
            <w:noWrap/>
            <w:vAlign w:val="bottom"/>
            <w:hideMark/>
          </w:tcPr>
          <w:p w14:paraId="7C587B52" w14:textId="77777777" w:rsidR="00980D10" w:rsidRPr="006D6BC5" w:rsidRDefault="00980D10" w:rsidP="00980D10">
            <w:pPr>
              <w:jc w:val="cente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2028 </w:t>
            </w:r>
          </w:p>
        </w:tc>
      </w:tr>
      <w:tr w:rsidR="00980D10" w:rsidRPr="006D6BC5" w14:paraId="79CE644E" w14:textId="77777777" w:rsidTr="00980D10">
        <w:trPr>
          <w:trHeight w:val="217"/>
        </w:trPr>
        <w:tc>
          <w:tcPr>
            <w:tcW w:w="620" w:type="dxa"/>
            <w:tcBorders>
              <w:top w:val="nil"/>
              <w:left w:val="single" w:sz="8" w:space="0" w:color="auto"/>
              <w:bottom w:val="single" w:sz="4" w:space="0" w:color="auto"/>
              <w:right w:val="single" w:sz="4" w:space="0" w:color="auto"/>
            </w:tcBorders>
            <w:shd w:val="clear" w:color="auto" w:fill="auto"/>
            <w:noWrap/>
            <w:vAlign w:val="bottom"/>
            <w:hideMark/>
          </w:tcPr>
          <w:p w14:paraId="6A27608F"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9 </w:t>
            </w:r>
          </w:p>
        </w:tc>
        <w:tc>
          <w:tcPr>
            <w:tcW w:w="4124" w:type="dxa"/>
            <w:tcBorders>
              <w:top w:val="nil"/>
              <w:left w:val="nil"/>
              <w:bottom w:val="single" w:sz="4" w:space="0" w:color="auto"/>
              <w:right w:val="single" w:sz="8" w:space="0" w:color="auto"/>
            </w:tcBorders>
            <w:shd w:val="clear" w:color="auto" w:fill="auto"/>
            <w:noWrap/>
            <w:vAlign w:val="bottom"/>
            <w:hideMark/>
          </w:tcPr>
          <w:p w14:paraId="03B02EC3"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Bergheim 345/138-kV transformer upgrade </w:t>
            </w:r>
          </w:p>
        </w:tc>
        <w:tc>
          <w:tcPr>
            <w:tcW w:w="1006" w:type="dxa"/>
            <w:tcBorders>
              <w:top w:val="nil"/>
              <w:left w:val="nil"/>
              <w:bottom w:val="single" w:sz="4" w:space="0" w:color="auto"/>
              <w:right w:val="single" w:sz="8" w:space="0" w:color="auto"/>
            </w:tcBorders>
            <w:shd w:val="clear" w:color="auto" w:fill="auto"/>
            <w:noWrap/>
            <w:vAlign w:val="bottom"/>
            <w:hideMark/>
          </w:tcPr>
          <w:p w14:paraId="18FE9608" w14:textId="77777777" w:rsidR="00980D10" w:rsidRPr="006D6BC5" w:rsidRDefault="00980D10" w:rsidP="00980D10">
            <w:pPr>
              <w:jc w:val="cente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2028 </w:t>
            </w:r>
          </w:p>
        </w:tc>
      </w:tr>
      <w:tr w:rsidR="00980D10" w:rsidRPr="006D6BC5" w14:paraId="71202318" w14:textId="77777777" w:rsidTr="00980D10">
        <w:trPr>
          <w:trHeight w:val="231"/>
        </w:trPr>
        <w:tc>
          <w:tcPr>
            <w:tcW w:w="620" w:type="dxa"/>
            <w:tcBorders>
              <w:top w:val="nil"/>
              <w:left w:val="single" w:sz="8" w:space="0" w:color="auto"/>
              <w:bottom w:val="single" w:sz="8" w:space="0" w:color="auto"/>
              <w:right w:val="single" w:sz="4" w:space="0" w:color="auto"/>
            </w:tcBorders>
            <w:shd w:val="clear" w:color="auto" w:fill="auto"/>
            <w:noWrap/>
            <w:vAlign w:val="bottom"/>
            <w:hideMark/>
          </w:tcPr>
          <w:p w14:paraId="7DEAF566"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10 </w:t>
            </w:r>
          </w:p>
        </w:tc>
        <w:tc>
          <w:tcPr>
            <w:tcW w:w="4124" w:type="dxa"/>
            <w:tcBorders>
              <w:top w:val="nil"/>
              <w:left w:val="nil"/>
              <w:bottom w:val="single" w:sz="8" w:space="0" w:color="auto"/>
              <w:right w:val="single" w:sz="8" w:space="0" w:color="auto"/>
            </w:tcBorders>
            <w:shd w:val="clear" w:color="auto" w:fill="auto"/>
            <w:noWrap/>
            <w:vAlign w:val="bottom"/>
            <w:hideMark/>
          </w:tcPr>
          <w:p w14:paraId="39D54E01" w14:textId="77777777" w:rsidR="00980D10" w:rsidRPr="006D6BC5" w:rsidRDefault="00980D10" w:rsidP="00980D10">
            <w:pP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Odessa to Moss new 345-kV line </w:t>
            </w:r>
          </w:p>
        </w:tc>
        <w:tc>
          <w:tcPr>
            <w:tcW w:w="1006" w:type="dxa"/>
            <w:tcBorders>
              <w:top w:val="nil"/>
              <w:left w:val="nil"/>
              <w:bottom w:val="single" w:sz="8" w:space="0" w:color="auto"/>
              <w:right w:val="single" w:sz="8" w:space="0" w:color="auto"/>
            </w:tcBorders>
            <w:shd w:val="clear" w:color="auto" w:fill="auto"/>
            <w:noWrap/>
            <w:vAlign w:val="bottom"/>
            <w:hideMark/>
          </w:tcPr>
          <w:p w14:paraId="471E5142" w14:textId="77777777" w:rsidR="00980D10" w:rsidRPr="006D6BC5" w:rsidRDefault="00980D10" w:rsidP="00980D10">
            <w:pPr>
              <w:jc w:val="center"/>
              <w:rPr>
                <w:rFonts w:ascii="Helvetica" w:eastAsia="Times New Roman" w:hAnsi="Helvetica" w:cs="Calibri"/>
                <w:color w:val="000000"/>
                <w:sz w:val="22"/>
                <w:szCs w:val="22"/>
              </w:rPr>
            </w:pPr>
            <w:r w:rsidRPr="006D6BC5">
              <w:rPr>
                <w:rFonts w:ascii="Helvetica" w:eastAsia="Times New Roman" w:hAnsi="Helvetica" w:cs="Calibri"/>
                <w:color w:val="000000"/>
                <w:sz w:val="22"/>
                <w:szCs w:val="22"/>
              </w:rPr>
              <w:t>2033 </w:t>
            </w:r>
          </w:p>
        </w:tc>
      </w:tr>
    </w:tbl>
    <w:p w14:paraId="4370955D" w14:textId="19CE88E1" w:rsidR="006D6BC5" w:rsidRDefault="006D6BC5" w:rsidP="00114CF8">
      <w:r w:rsidRPr="006D6BC5">
        <w:rPr>
          <w:noProof/>
        </w:rPr>
        <w:drawing>
          <wp:inline distT="0" distB="0" distL="0" distR="0" wp14:anchorId="44C37A16" wp14:editId="4EFA12D3">
            <wp:extent cx="2853267" cy="2775534"/>
            <wp:effectExtent l="0" t="0" r="4445" b="6350"/>
            <wp:docPr id="1"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 up of a map&#10;&#10;Description automatically generated"/>
                    <pic:cNvPicPr/>
                  </pic:nvPicPr>
                  <pic:blipFill>
                    <a:blip r:embed="rId4"/>
                    <a:stretch>
                      <a:fillRect/>
                    </a:stretch>
                  </pic:blipFill>
                  <pic:spPr>
                    <a:xfrm>
                      <a:off x="0" y="0"/>
                      <a:ext cx="3011697" cy="2929647"/>
                    </a:xfrm>
                    <a:prstGeom prst="rect">
                      <a:avLst/>
                    </a:prstGeom>
                  </pic:spPr>
                </pic:pic>
              </a:graphicData>
            </a:graphic>
          </wp:inline>
        </w:drawing>
      </w:r>
    </w:p>
    <w:p w14:paraId="04F02CC9" w14:textId="77777777" w:rsidR="00980D10" w:rsidRDefault="00980D10" w:rsidP="00114CF8"/>
    <w:p w14:paraId="5B0F1448" w14:textId="55AF0A15" w:rsidR="006D6BC5" w:rsidRDefault="006D6BC5" w:rsidP="00114CF8">
      <w:proofErr w:type="gramStart"/>
      <w:r>
        <w:t>So</w:t>
      </w:r>
      <w:proofErr w:type="gramEnd"/>
      <w:r>
        <w:t xml:space="preserve"> where do we stand now? Not a single transmission line on the list has been submitted for </w:t>
      </w:r>
      <w:r w:rsidR="00BF6123">
        <w:t xml:space="preserve">study, much less </w:t>
      </w:r>
      <w:r>
        <w:t xml:space="preserve">approval.  </w:t>
      </w:r>
      <w:r w:rsidR="00BF6123">
        <w:t xml:space="preserve">In addition, time has moved on.  The latest </w:t>
      </w:r>
      <w:r w:rsidR="001F1DC5">
        <w:t xml:space="preserve">Generator Interconnect Status Report (GISR) lists over 45,777 MW of renewable capacity to be in place by 2022, only two years from now; that is 700 MW more than the 45,026 MW that LTSA said might be in place by 2028 and for which the LTSA opined that the transmission listed in the table above would be needed.  The 45,777 MW to be in place by 2022 is either on the ground </w:t>
      </w:r>
      <w:r w:rsidR="00980D10">
        <w:t xml:space="preserve">today </w:t>
      </w:r>
      <w:r w:rsidR="001F1DC5">
        <w:t xml:space="preserve">or has </w:t>
      </w:r>
      <w:r w:rsidR="00980D10">
        <w:t xml:space="preserve">posted </w:t>
      </w:r>
      <w:r w:rsidR="001F1DC5">
        <w:t xml:space="preserve">millions of dollars of </w:t>
      </w:r>
      <w:r w:rsidR="00125916">
        <w:t>security</w:t>
      </w:r>
      <w:r w:rsidR="001F1DC5">
        <w:t>; these are not speculative generation additions.</w:t>
      </w:r>
    </w:p>
    <w:p w14:paraId="27B7A3C9" w14:textId="4B132B5D" w:rsidR="00980D10" w:rsidRDefault="00980D10" w:rsidP="00114CF8"/>
    <w:p w14:paraId="3973645B" w14:textId="0D8EBC3F" w:rsidR="00980D10" w:rsidRDefault="00980D10" w:rsidP="00114CF8">
      <w:r>
        <w:t>The key problem is that we have an extremely high hurdle to getting transmission approved in ERCOT if it is not needed for reliability purposes.  The current rules state that a transmission problem that can be cured by backing down generation is not a reliability issue.  Any transmission that is needed to increase production from lower cost resources needs to have an economic justification.  That is getting very hard since the really high cost generation has been pushed out of the market or is seldom used</w:t>
      </w:r>
      <w:r w:rsidR="00125916">
        <w:t>.  Add to that the lower cost of natural gas and it is much more difficult to make the economics work out.</w:t>
      </w:r>
    </w:p>
    <w:p w14:paraId="37D86B6B" w14:textId="049DC85D" w:rsidR="00125916" w:rsidRDefault="00125916" w:rsidP="00114CF8"/>
    <w:p w14:paraId="341C5155" w14:textId="3722AB22" w:rsidR="00125916" w:rsidRDefault="00125916" w:rsidP="00114CF8">
      <w:r>
        <w:t>This catch 22 is further exacerbated by the fact that as more wind and solar power replace high cost generation, there is less high cost generation to replace.  Taken to the extreme, once all generation in ERCOT comes from wind and solar power; how will there be any basis for economic justification for transmission additions?</w:t>
      </w:r>
    </w:p>
    <w:p w14:paraId="480C1995" w14:textId="133E47FE" w:rsidR="00125916" w:rsidRDefault="00125916" w:rsidP="00114CF8"/>
    <w:p w14:paraId="575C8D1A" w14:textId="573BE3CF" w:rsidR="00125916" w:rsidRDefault="00125916" w:rsidP="00114CF8">
      <w:r>
        <w:t>The real unfortunate possibility is that developers will rethink their plans to build generation.</w:t>
      </w:r>
    </w:p>
    <w:sectPr w:rsidR="00125916" w:rsidSect="00FC0132">
      <w:pgSz w:w="12240" w:h="15840"/>
      <w:pgMar w:top="621" w:right="1440" w:bottom="549"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4CF8"/>
    <w:rsid w:val="000A7C3F"/>
    <w:rsid w:val="00114CF8"/>
    <w:rsid w:val="00125916"/>
    <w:rsid w:val="001F1DC5"/>
    <w:rsid w:val="002D0261"/>
    <w:rsid w:val="003230FF"/>
    <w:rsid w:val="00327FB6"/>
    <w:rsid w:val="00590670"/>
    <w:rsid w:val="0061440D"/>
    <w:rsid w:val="006D6BC5"/>
    <w:rsid w:val="00920802"/>
    <w:rsid w:val="00980D10"/>
    <w:rsid w:val="009D35E8"/>
    <w:rsid w:val="009F0C79"/>
    <w:rsid w:val="00AA64DC"/>
    <w:rsid w:val="00AE2A54"/>
    <w:rsid w:val="00BE571D"/>
    <w:rsid w:val="00BF6123"/>
    <w:rsid w:val="00C459BB"/>
    <w:rsid w:val="00CC056E"/>
    <w:rsid w:val="00CF1B7F"/>
    <w:rsid w:val="00D66ECF"/>
    <w:rsid w:val="00F23C77"/>
    <w:rsid w:val="00FC01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F450A9D"/>
  <w15:chartTrackingRefBased/>
  <w15:docId w15:val="{7C5078AE-04DF-A248-9719-F475E33BAD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9604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93</TotalTime>
  <Pages>1</Pages>
  <Words>415</Words>
  <Characters>2371</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Advanced Power Alliance</dc:creator>
  <cp:keywords/>
  <dc:description/>
  <cp:lastModifiedBy>Advanced Power Alliance</cp:lastModifiedBy>
  <cp:revision>4</cp:revision>
  <dcterms:created xsi:type="dcterms:W3CDTF">2020-07-26T18:35:00Z</dcterms:created>
  <dcterms:modified xsi:type="dcterms:W3CDTF">2020-08-13T20:14:00Z</dcterms:modified>
</cp:coreProperties>
</file>